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4D" w:rsidRPr="00DA46F9" w:rsidRDefault="004E514D" w:rsidP="004E514D">
      <w:pPr>
        <w:spacing w:line="480" w:lineRule="auto"/>
        <w:rPr>
          <w:rFonts w:eastAsia="仿宋_GB2312"/>
          <w:color w:val="000000"/>
          <w:spacing w:val="6"/>
          <w:sz w:val="32"/>
        </w:rPr>
      </w:pPr>
      <w:r w:rsidRPr="00DA46F9">
        <w:rPr>
          <w:rFonts w:eastAsia="仿宋_GB2312"/>
          <w:color w:val="000000"/>
          <w:spacing w:val="6"/>
          <w:sz w:val="32"/>
        </w:rPr>
        <w:t>附件</w:t>
      </w:r>
      <w:r>
        <w:rPr>
          <w:rFonts w:eastAsia="仿宋_GB2312" w:hint="eastAsia"/>
          <w:color w:val="000000"/>
          <w:spacing w:val="6"/>
          <w:sz w:val="32"/>
        </w:rPr>
        <w:t>4</w:t>
      </w:r>
    </w:p>
    <w:p w:rsidR="004E514D" w:rsidRPr="00DA46F9" w:rsidRDefault="004E514D" w:rsidP="004E514D">
      <w:pPr>
        <w:spacing w:line="440" w:lineRule="exact"/>
        <w:jc w:val="center"/>
        <w:rPr>
          <w:b/>
          <w:sz w:val="36"/>
          <w:szCs w:val="36"/>
        </w:rPr>
      </w:pPr>
      <w:r w:rsidRPr="00DA46F9">
        <w:rPr>
          <w:rFonts w:hAnsi="宋体"/>
          <w:b/>
          <w:sz w:val="36"/>
          <w:szCs w:val="36"/>
        </w:rPr>
        <w:t>全国翻译硕士专业培养院校名录</w:t>
      </w:r>
    </w:p>
    <w:p w:rsidR="004E514D" w:rsidRPr="00DA46F9" w:rsidRDefault="004E514D" w:rsidP="004E514D">
      <w:pPr>
        <w:spacing w:line="440" w:lineRule="exact"/>
        <w:jc w:val="center"/>
        <w:rPr>
          <w:b/>
          <w:sz w:val="36"/>
          <w:szCs w:val="36"/>
        </w:rPr>
      </w:pPr>
      <w:r w:rsidRPr="00DA46F9">
        <w:rPr>
          <w:rFonts w:hAnsi="宋体"/>
          <w:b/>
          <w:sz w:val="36"/>
          <w:szCs w:val="36"/>
        </w:rPr>
        <w:t>（共</w:t>
      </w:r>
      <w:r w:rsidRPr="00DA46F9">
        <w:rPr>
          <w:b/>
          <w:sz w:val="36"/>
          <w:szCs w:val="36"/>
        </w:rPr>
        <w:t>215</w:t>
      </w:r>
      <w:r w:rsidRPr="00DA46F9">
        <w:rPr>
          <w:rFonts w:hAnsi="宋体"/>
          <w:b/>
          <w:sz w:val="36"/>
          <w:szCs w:val="36"/>
        </w:rPr>
        <w:t>所）</w:t>
      </w:r>
    </w:p>
    <w:p w:rsidR="004E514D" w:rsidRPr="00DA46F9" w:rsidRDefault="004E514D" w:rsidP="004E514D">
      <w:pPr>
        <w:spacing w:line="440" w:lineRule="exact"/>
        <w:jc w:val="center"/>
        <w:rPr>
          <w:b/>
          <w:sz w:val="36"/>
          <w:szCs w:val="36"/>
        </w:rPr>
      </w:pP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  <w:sectPr w:rsidR="004E514D" w:rsidRPr="00DA46F9" w:rsidSect="00D2232E">
          <w:footerReference w:type="even" r:id="rId6"/>
          <w:footerReference w:type="default" r:id="rId7"/>
          <w:footerReference w:type="first" r:id="rId8"/>
          <w:pgSz w:w="16840" w:h="11907" w:orient="landscape"/>
          <w:pgMar w:top="1531" w:right="1474" w:bottom="1531" w:left="1588" w:header="851" w:footer="794" w:gutter="0"/>
          <w:pgNumType w:fmt="numberInDash"/>
          <w:cols w:space="720"/>
          <w:docGrid w:type="lines" w:linePitch="323"/>
        </w:sectPr>
      </w:pP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lastRenderedPageBreak/>
        <w:t>第一批培养单位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rFonts w:hAnsi="宋体"/>
          <w:b/>
          <w:szCs w:val="21"/>
        </w:rPr>
        <w:t>（</w:t>
      </w:r>
      <w:r w:rsidRPr="00DA46F9">
        <w:rPr>
          <w:b/>
          <w:szCs w:val="21"/>
        </w:rPr>
        <w:t>2007</w:t>
      </w:r>
      <w:r w:rsidRPr="00DA46F9">
        <w:rPr>
          <w:rFonts w:hAnsi="宋体"/>
          <w:b/>
          <w:szCs w:val="21"/>
        </w:rPr>
        <w:t>年，共</w:t>
      </w:r>
      <w:r w:rsidRPr="00DA46F9">
        <w:rPr>
          <w:b/>
          <w:szCs w:val="21"/>
        </w:rPr>
        <w:t>15</w:t>
      </w:r>
      <w:r w:rsidRPr="00DA46F9">
        <w:rPr>
          <w:rFonts w:hAnsi="宋体"/>
          <w:b/>
          <w:szCs w:val="21"/>
        </w:rPr>
        <w:t>所）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北京外国语大学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复旦大学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广东外语外贸大学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湖南师范大学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解放军外国语学院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南京大学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上海交通大学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上海外国语大学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同济大学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厦门大学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中山大学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第二批培养单位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（</w:t>
      </w:r>
      <w:r w:rsidRPr="00DA46F9">
        <w:rPr>
          <w:b/>
          <w:szCs w:val="21"/>
        </w:rPr>
        <w:t>2009</w:t>
      </w:r>
      <w:r w:rsidRPr="00DA46F9">
        <w:rPr>
          <w:rFonts w:hAnsi="宋体"/>
          <w:b/>
          <w:szCs w:val="21"/>
        </w:rPr>
        <w:t>年，共</w:t>
      </w:r>
      <w:r w:rsidRPr="00DA46F9">
        <w:rPr>
          <w:b/>
          <w:szCs w:val="21"/>
        </w:rPr>
        <w:t>25</w:t>
      </w:r>
      <w:r w:rsidRPr="00DA46F9">
        <w:rPr>
          <w:rFonts w:hAnsi="宋体"/>
          <w:b/>
          <w:szCs w:val="21"/>
        </w:rPr>
        <w:t>所）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北京第二外国语学院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lastRenderedPageBreak/>
        <w:t>北京航空航天大学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北京语言大学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大连外国语大学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东北师范大学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对外经济贸易大学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福建师范大学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河南大学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黑龙江大学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湖南大学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华东师范大学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华中师范大学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吉林大学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南京师范大学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山东大学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首都师范大学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四川大学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四川外国语大学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苏州大学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天津外国语大学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武汉大学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lastRenderedPageBreak/>
        <w:t>西安外国语大学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延边大学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中国海洋大学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第三批培养单位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（</w:t>
      </w:r>
      <w:r w:rsidRPr="00DA46F9">
        <w:rPr>
          <w:b/>
          <w:szCs w:val="21"/>
        </w:rPr>
        <w:t>2010</w:t>
      </w:r>
      <w:r w:rsidRPr="00DA46F9">
        <w:rPr>
          <w:rFonts w:hAnsi="宋体"/>
          <w:b/>
          <w:szCs w:val="21"/>
        </w:rPr>
        <w:t>年，共</w:t>
      </w:r>
      <w:r w:rsidRPr="00DA46F9">
        <w:rPr>
          <w:b/>
          <w:szCs w:val="21"/>
        </w:rPr>
        <w:t>118</w:t>
      </w:r>
      <w:r w:rsidRPr="00DA46F9">
        <w:rPr>
          <w:rFonts w:hAnsi="宋体"/>
          <w:b/>
          <w:szCs w:val="21"/>
        </w:rPr>
        <w:t>所）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安徽大学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安徽师范大学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北华大学（撤销学位点）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北京交通大学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北京林业大学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北京邮电大学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长沙理工大学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成都理工大学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大连海事大学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大连理工大学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电子科技大学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东北大学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东北林业大学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lastRenderedPageBreak/>
        <w:t>东华大学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东南大学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福州大学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广西大学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广西民族大学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广西师范大学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贵州大学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贵州师范大学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国际关系学院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哈尔滨工程大学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哈尔滨工业大学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哈尔滨理工大学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哈尔滨师范大学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海南大学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合肥工业大学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河北大学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河北联合大学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河北师范大学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河海大学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河南科技大学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河南师范大学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lastRenderedPageBreak/>
        <w:t>湖北大学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湖南科技大学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华北电力大学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华南理工大学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华南师范大学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华中科技大学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吉林师范大学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济南大学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暨南大学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江西师范大学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兰州大学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辽宁大学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辽宁师范大学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聊城大学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鲁东大学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内蒙古大学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内蒙古师范大学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南昌大学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南京航空航天大学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南京理工大学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南京农业大学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lastRenderedPageBreak/>
        <w:t>宁波大学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宁夏大学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青岛大学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青岛科技大学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曲阜师范大学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三峡大学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山东财经大学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山东科技大学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山东师范大学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山西大学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山西师范大学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陕西师范大学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上海大学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上海对外经贸大学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上海海事大学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上海理工大学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上海师范大学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沈阳师范大学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四川师范大学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太原理工大学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天津财经大学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天津大学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天津理工大学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天津师范大学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外交学院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武汉理工大学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西安电子科技大学</w:t>
      </w:r>
    </w:p>
    <w:p w:rsidR="004E514D" w:rsidRPr="00DA46F9" w:rsidRDefault="00882C54" w:rsidP="004E514D">
      <w:pPr>
        <w:autoSpaceDN w:val="0"/>
        <w:spacing w:line="320" w:lineRule="exact"/>
        <w:jc w:val="left"/>
        <w:rPr>
          <w:szCs w:val="21"/>
        </w:rPr>
      </w:pPr>
      <w:r>
        <w:rPr>
          <w:noProof/>
          <w:szCs w:val="21"/>
        </w:rPr>
        <w:lastRenderedPageBreak/>
        <w:pict>
          <v:line id="_x0000_s1026" style="position:absolute;z-index:251660288" from="131.55pt,5.55pt" to="131.55pt,426.75pt"/>
        </w:pict>
      </w:r>
      <w:r w:rsidR="004E514D" w:rsidRPr="00DA46F9">
        <w:rPr>
          <w:szCs w:val="21"/>
        </w:rPr>
        <w:t>西安交通大学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西北工业大学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西华大学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西南财经大学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西南交通大学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西南科技大学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西南石油大学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西南政法大学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湘潭大学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新疆大学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新疆师范大学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信阳师范学院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江苏师范大学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烟台大学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燕山大学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扬州大学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云南大学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云南民族大学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云南师范大学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浙江大学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浙江工商大学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浙江师范大学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郑州大学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中国地质大学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中国科学技术大学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lastRenderedPageBreak/>
        <w:t>中国科学院大学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中国矿业大学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中国石油大学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中南</w:t>
      </w:r>
      <w:proofErr w:type="gramStart"/>
      <w:r w:rsidRPr="00DA46F9">
        <w:rPr>
          <w:szCs w:val="21"/>
        </w:rPr>
        <w:t>财经政法</w:t>
      </w:r>
      <w:proofErr w:type="gramEnd"/>
      <w:r w:rsidRPr="00DA46F9">
        <w:rPr>
          <w:szCs w:val="21"/>
        </w:rPr>
        <w:t>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中南民族大学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重庆大学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重庆师范大学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第四批培养单位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（</w:t>
      </w:r>
      <w:r w:rsidRPr="00DA46F9">
        <w:rPr>
          <w:b/>
          <w:szCs w:val="21"/>
        </w:rPr>
        <w:t>2011</w:t>
      </w:r>
      <w:r w:rsidRPr="00DA46F9">
        <w:rPr>
          <w:rFonts w:hAnsi="宋体"/>
          <w:b/>
          <w:szCs w:val="21"/>
        </w:rPr>
        <w:t>年，共</w:t>
      </w:r>
      <w:r w:rsidRPr="00DA46F9">
        <w:rPr>
          <w:b/>
          <w:szCs w:val="21"/>
        </w:rPr>
        <w:t>1</w:t>
      </w:r>
      <w:r w:rsidRPr="00DA46F9">
        <w:rPr>
          <w:rFonts w:hAnsi="宋体"/>
          <w:b/>
          <w:szCs w:val="21"/>
        </w:rPr>
        <w:t>所）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吉林华桥外国语学院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第五批培养单位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rFonts w:hAnsi="宋体"/>
          <w:b/>
          <w:szCs w:val="21"/>
        </w:rPr>
        <w:t>（</w:t>
      </w:r>
      <w:r w:rsidRPr="00DA46F9">
        <w:rPr>
          <w:b/>
          <w:szCs w:val="21"/>
        </w:rPr>
        <w:t>2014</w:t>
      </w:r>
      <w:r w:rsidRPr="00DA46F9">
        <w:rPr>
          <w:rFonts w:hAnsi="宋体"/>
          <w:b/>
          <w:szCs w:val="21"/>
        </w:rPr>
        <w:t>年，共</w:t>
      </w:r>
      <w:r w:rsidRPr="00DA46F9">
        <w:rPr>
          <w:b/>
          <w:szCs w:val="21"/>
        </w:rPr>
        <w:t>47</w:t>
      </w:r>
      <w:r w:rsidRPr="00DA46F9">
        <w:rPr>
          <w:rFonts w:hAnsi="宋体"/>
          <w:b/>
          <w:szCs w:val="21"/>
        </w:rPr>
        <w:t>所）</w:t>
      </w:r>
    </w:p>
    <w:tbl>
      <w:tblPr>
        <w:tblW w:w="2771" w:type="dxa"/>
        <w:tblInd w:w="37" w:type="dxa"/>
        <w:tblLayout w:type="fixed"/>
        <w:tblLook w:val="0000"/>
      </w:tblPr>
      <w:tblGrid>
        <w:gridCol w:w="2771"/>
      </w:tblGrid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北京工商大学</w:t>
            </w:r>
          </w:p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长春师范大学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大连海洋大学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东北财经大学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东北电力大学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广东工业大学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广西科技大学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贵州财经学院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桂林电子科技大学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国际关系学院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河北传媒学院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河北工业大学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河北科技大学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lastRenderedPageBreak/>
              <w:t>河南农业大学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河南中医学院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华北水利水电学院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华东交通大学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华东理工大学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华东政法大学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华南农业大学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华中农业大学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空军工程大学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昆明理工大学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牡丹江师范学院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南京林业大学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南京信息工程大学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山东建筑大学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陕西科技大学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上海中医药大学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沈阳建筑大学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沈阳理工大学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首都经济贸易大学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武汉工程大学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武汉科技大学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西安理工大学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西安石油大学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西北政法大学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西南民族大学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云南农业大学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浙江理工大学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lastRenderedPageBreak/>
              <w:t>中国传媒大学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中国民航大学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中国人民大学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中国政法大学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中南林业科技大学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重庆医科大学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  <w:r w:rsidRPr="00DA46F9">
              <w:rPr>
                <w:szCs w:val="21"/>
              </w:rPr>
              <w:t>重庆邮电大学</w:t>
            </w:r>
          </w:p>
        </w:tc>
      </w:tr>
      <w:tr w:rsidR="004E514D" w:rsidRPr="00DA46F9" w:rsidTr="00646E8E">
        <w:trPr>
          <w:trHeight w:val="285"/>
        </w:trPr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4D" w:rsidRPr="00DA46F9" w:rsidRDefault="004E514D" w:rsidP="00646E8E">
            <w:pPr>
              <w:autoSpaceDN w:val="0"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b/>
          <w:szCs w:val="21"/>
        </w:rPr>
        <w:t>第六批培养单位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szCs w:val="21"/>
        </w:rPr>
      </w:pPr>
      <w:r w:rsidRPr="00DA46F9">
        <w:rPr>
          <w:b/>
          <w:szCs w:val="21"/>
        </w:rPr>
        <w:t>（</w:t>
      </w:r>
      <w:r w:rsidRPr="00DA46F9">
        <w:rPr>
          <w:b/>
          <w:szCs w:val="21"/>
        </w:rPr>
        <w:t>2016</w:t>
      </w:r>
      <w:r w:rsidRPr="00DA46F9">
        <w:rPr>
          <w:b/>
          <w:szCs w:val="21"/>
        </w:rPr>
        <w:t>年，共</w:t>
      </w:r>
      <w:r w:rsidRPr="00DA46F9">
        <w:rPr>
          <w:b/>
          <w:szCs w:val="21"/>
        </w:rPr>
        <w:t>10</w:t>
      </w:r>
      <w:r w:rsidRPr="00DA46F9">
        <w:rPr>
          <w:b/>
          <w:szCs w:val="21"/>
        </w:rPr>
        <w:t>所）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内蒙古工业大学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辽宁石油化工大学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华侨大学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南昌航空大学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江西理工大学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江西财经大学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齐鲁工业大学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郑州轻工业学院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szCs w:val="21"/>
        </w:rPr>
      </w:pPr>
      <w:r w:rsidRPr="00DA46F9">
        <w:rPr>
          <w:szCs w:val="21"/>
        </w:rPr>
        <w:t>湖北中医药大学</w:t>
      </w:r>
    </w:p>
    <w:p w:rsidR="004E514D" w:rsidRPr="00DA46F9" w:rsidRDefault="004E514D" w:rsidP="004E514D">
      <w:pPr>
        <w:autoSpaceDN w:val="0"/>
        <w:spacing w:line="320" w:lineRule="exact"/>
        <w:jc w:val="left"/>
        <w:rPr>
          <w:b/>
          <w:color w:val="000000"/>
          <w:sz w:val="36"/>
          <w:szCs w:val="36"/>
        </w:rPr>
        <w:sectPr w:rsidR="004E514D" w:rsidRPr="00DA46F9" w:rsidSect="004E514D">
          <w:type w:val="continuous"/>
          <w:pgSz w:w="16840" w:h="11907" w:orient="landscape"/>
          <w:pgMar w:top="1474" w:right="1474" w:bottom="1474" w:left="1588" w:header="851" w:footer="794" w:gutter="0"/>
          <w:pgNumType w:fmt="numberInDash"/>
          <w:cols w:num="5" w:sep="1" w:space="427"/>
          <w:docGrid w:type="lines" w:linePitch="323"/>
        </w:sectPr>
      </w:pPr>
      <w:r w:rsidRPr="00DA46F9">
        <w:rPr>
          <w:szCs w:val="21"/>
        </w:rPr>
        <w:t>吉首大学</w:t>
      </w:r>
    </w:p>
    <w:p w:rsidR="005753B1" w:rsidRDefault="00C318AA" w:rsidP="00D2232E">
      <w:pPr>
        <w:adjustRightInd w:val="0"/>
        <w:snapToGrid w:val="0"/>
        <w:spacing w:line="100" w:lineRule="exact"/>
      </w:pPr>
    </w:p>
    <w:sectPr w:rsidR="005753B1" w:rsidSect="00D2232E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AA" w:rsidRDefault="00C318AA" w:rsidP="00882C54">
      <w:r>
        <w:separator/>
      </w:r>
    </w:p>
  </w:endnote>
  <w:endnote w:type="continuationSeparator" w:id="0">
    <w:p w:rsidR="00C318AA" w:rsidRDefault="00C318AA" w:rsidP="0088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D" w:rsidRDefault="00882C54" w:rsidP="006A5D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E51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E7D" w:rsidRDefault="00C318AA" w:rsidP="006A5D0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D" w:rsidRDefault="00882C54" w:rsidP="006A5D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E51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232E">
      <w:rPr>
        <w:rStyle w:val="a4"/>
        <w:noProof/>
      </w:rPr>
      <w:t>- 1 -</w:t>
    </w:r>
    <w:r>
      <w:rPr>
        <w:rStyle w:val="a4"/>
      </w:rPr>
      <w:fldChar w:fldCharType="end"/>
    </w:r>
  </w:p>
  <w:p w:rsidR="00C77E7D" w:rsidRDefault="00C318AA" w:rsidP="006A5D0F">
    <w:pPr>
      <w:pStyle w:val="a3"/>
      <w:framePr w:wrap="around" w:vAnchor="page" w:hAnchor="margin" w:xAlign="center" w:y="-20"/>
      <w:ind w:right="360" w:firstLine="360"/>
      <w:rPr>
        <w:rStyle w:val="a4"/>
      </w:rPr>
    </w:pPr>
  </w:p>
  <w:p w:rsidR="00C77E7D" w:rsidRDefault="00C318AA" w:rsidP="00DC07C9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D" w:rsidRDefault="00882C54" w:rsidP="006A5D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E51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514D">
      <w:rPr>
        <w:rStyle w:val="a4"/>
        <w:noProof/>
      </w:rPr>
      <w:t>- 15 -</w:t>
    </w:r>
    <w:r>
      <w:rPr>
        <w:rStyle w:val="a4"/>
      </w:rPr>
      <w:fldChar w:fldCharType="end"/>
    </w:r>
  </w:p>
  <w:p w:rsidR="00C77E7D" w:rsidRDefault="00C318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AA" w:rsidRDefault="00C318AA" w:rsidP="00882C54">
      <w:r>
        <w:separator/>
      </w:r>
    </w:p>
  </w:footnote>
  <w:footnote w:type="continuationSeparator" w:id="0">
    <w:p w:rsidR="00C318AA" w:rsidRDefault="00C318AA" w:rsidP="00882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14D"/>
    <w:rsid w:val="00305433"/>
    <w:rsid w:val="004E514D"/>
    <w:rsid w:val="005B47C2"/>
    <w:rsid w:val="00882C54"/>
    <w:rsid w:val="00A22D81"/>
    <w:rsid w:val="00C318AA"/>
    <w:rsid w:val="00D2232E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514D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4E514D"/>
    <w:rPr>
      <w:rFonts w:ascii="Times New Roman" w:eastAsia="宋体" w:hAnsi="Times New Roman" w:cs="Times New Roman"/>
      <w:szCs w:val="20"/>
    </w:rPr>
  </w:style>
  <w:style w:type="character" w:styleId="a4">
    <w:name w:val="page number"/>
    <w:basedOn w:val="a0"/>
    <w:rsid w:val="004E514D"/>
  </w:style>
  <w:style w:type="paragraph" w:styleId="a5">
    <w:name w:val="header"/>
    <w:basedOn w:val="a"/>
    <w:link w:val="Char0"/>
    <w:uiPriority w:val="99"/>
    <w:semiHidden/>
    <w:unhideWhenUsed/>
    <w:rsid w:val="00D2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223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2</cp:revision>
  <dcterms:created xsi:type="dcterms:W3CDTF">2018-03-14T02:15:00Z</dcterms:created>
  <dcterms:modified xsi:type="dcterms:W3CDTF">2018-03-14T02:20:00Z</dcterms:modified>
</cp:coreProperties>
</file>